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3648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60F3A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60F3A">
        <w:rPr>
          <w:rFonts w:ascii="Arial" w:hAnsi="Arial" w:cs="Arial"/>
          <w:sz w:val="20"/>
          <w:szCs w:val="20"/>
        </w:rPr>
        <w:t>19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proofErr w:type="gramStart"/>
      <w:r w:rsidR="00960F3A" w:rsidRPr="00960F3A">
        <w:rPr>
          <w:rFonts w:ascii="Arial" w:hAnsi="Arial" w:cs="Arial"/>
          <w:sz w:val="20"/>
          <w:szCs w:val="20"/>
        </w:rPr>
        <w:t>Vip</w:t>
      </w:r>
      <w:proofErr w:type="spellEnd"/>
      <w:proofErr w:type="gramEnd"/>
      <w:r w:rsidR="00960F3A" w:rsidRPr="00960F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F3A" w:rsidRPr="00960F3A">
        <w:rPr>
          <w:rFonts w:ascii="Arial" w:hAnsi="Arial" w:cs="Arial"/>
          <w:sz w:val="20"/>
          <w:szCs w:val="20"/>
        </w:rPr>
        <w:t>GreenPort</w:t>
      </w:r>
      <w:proofErr w:type="spellEnd"/>
      <w:r w:rsidR="00960F3A" w:rsidRPr="00960F3A">
        <w:rPr>
          <w:rFonts w:ascii="Arial" w:hAnsi="Arial" w:cs="Arial"/>
          <w:sz w:val="20"/>
          <w:szCs w:val="20"/>
        </w:rPr>
        <w:t xml:space="preserve"> Joint Stock Company</w:t>
      </w:r>
      <w:r w:rsidR="00960F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1776C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60F3A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financial statement of</w:t>
      </w:r>
      <w:r w:rsidRPr="00960F3A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audited</w:t>
      </w:r>
      <w:r w:rsidRPr="00960F3A">
        <w:rPr>
          <w:rFonts w:ascii="Arial" w:hAnsi="Arial" w:cs="Arial"/>
          <w:sz w:val="20"/>
          <w:szCs w:val="20"/>
        </w:rPr>
        <w:t xml:space="preserve"> by KPMG Co., Ltd. with the following business results: </w:t>
      </w:r>
    </w:p>
    <w:p w:rsidR="0051776C" w:rsidRDefault="005177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Revenue: VND 7</w:t>
      </w:r>
      <w:r w:rsidR="00960F3A" w:rsidRPr="00960F3A">
        <w:rPr>
          <w:rFonts w:ascii="Arial" w:hAnsi="Arial" w:cs="Arial"/>
          <w:sz w:val="20"/>
          <w:szCs w:val="20"/>
        </w:rPr>
        <w:t xml:space="preserve">91.8 billion </w:t>
      </w:r>
    </w:p>
    <w:p w:rsidR="0051776C" w:rsidRDefault="00E603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 w:rsidR="00960F3A" w:rsidRPr="00960F3A">
        <w:rPr>
          <w:rFonts w:ascii="Arial" w:hAnsi="Arial" w:cs="Arial"/>
          <w:sz w:val="20"/>
          <w:szCs w:val="20"/>
        </w:rPr>
        <w:t xml:space="preserve">Profit before tax: VND 133.48 billion </w:t>
      </w:r>
    </w:p>
    <w:p w:rsidR="0051776C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>Article 2</w:t>
      </w:r>
      <w:r w:rsidR="0051776C">
        <w:rPr>
          <w:rFonts w:ascii="Arial" w:hAnsi="Arial" w:cs="Arial"/>
          <w:sz w:val="20"/>
          <w:szCs w:val="20"/>
        </w:rPr>
        <w:t xml:space="preserve">: Approve the </w:t>
      </w:r>
      <w:r w:rsidRPr="00960F3A">
        <w:rPr>
          <w:rFonts w:ascii="Arial" w:hAnsi="Arial" w:cs="Arial"/>
          <w:sz w:val="20"/>
          <w:szCs w:val="20"/>
        </w:rPr>
        <w:t xml:space="preserve">2019 dividend and </w:t>
      </w:r>
      <w:r w:rsidR="0051776C">
        <w:rPr>
          <w:rFonts w:ascii="Arial" w:hAnsi="Arial" w:cs="Arial"/>
          <w:sz w:val="20"/>
          <w:szCs w:val="20"/>
        </w:rPr>
        <w:t>extraction to the</w:t>
      </w:r>
      <w:r w:rsidRPr="00960F3A">
        <w:rPr>
          <w:rFonts w:ascii="Arial" w:hAnsi="Arial" w:cs="Arial"/>
          <w:sz w:val="20"/>
          <w:szCs w:val="20"/>
        </w:rPr>
        <w:t xml:space="preserve"> bonus and welfare fund 2019: </w:t>
      </w:r>
    </w:p>
    <w:p w:rsidR="00124513" w:rsidRDefault="005177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Dividend rate for shareholders in 2019: </w:t>
      </w:r>
      <w:r w:rsidR="00960F3A" w:rsidRPr="00960F3A">
        <w:rPr>
          <w:rFonts w:ascii="Arial" w:hAnsi="Arial" w:cs="Arial"/>
          <w:sz w:val="20"/>
          <w:szCs w:val="20"/>
        </w:rPr>
        <w:t xml:space="preserve">10% of charter capital, equivalent to </w:t>
      </w:r>
      <w:r w:rsidR="00124513">
        <w:rPr>
          <w:rFonts w:ascii="Arial" w:hAnsi="Arial" w:cs="Arial"/>
          <w:sz w:val="20"/>
          <w:szCs w:val="20"/>
        </w:rPr>
        <w:t xml:space="preserve">VND </w:t>
      </w:r>
      <w:r w:rsidR="00960F3A" w:rsidRPr="00960F3A">
        <w:rPr>
          <w:rFonts w:ascii="Arial" w:hAnsi="Arial" w:cs="Arial"/>
          <w:sz w:val="20"/>
          <w:szCs w:val="20"/>
        </w:rPr>
        <w:t>63,250,000,000</w:t>
      </w:r>
    </w:p>
    <w:p w:rsidR="00124513" w:rsidRDefault="001245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Extraction to the</w:t>
      </w:r>
      <w:r w:rsidR="00960F3A" w:rsidRPr="00960F3A">
        <w:rPr>
          <w:rFonts w:ascii="Arial" w:hAnsi="Arial" w:cs="Arial"/>
          <w:sz w:val="20"/>
          <w:szCs w:val="20"/>
        </w:rPr>
        <w:t xml:space="preserve"> bon</w:t>
      </w:r>
      <w:r>
        <w:rPr>
          <w:rFonts w:ascii="Arial" w:hAnsi="Arial" w:cs="Arial"/>
          <w:sz w:val="20"/>
          <w:szCs w:val="20"/>
        </w:rPr>
        <w:t>us and welfare fund in 2019: VND 5,000,000,000</w:t>
      </w:r>
    </w:p>
    <w:p w:rsidR="00124513" w:rsidRDefault="001245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operation plan</w:t>
      </w:r>
      <w:r w:rsidR="00960F3A" w:rsidRPr="00960F3A">
        <w:rPr>
          <w:rFonts w:ascii="Arial" w:hAnsi="Arial" w:cs="Arial"/>
          <w:sz w:val="20"/>
          <w:szCs w:val="20"/>
        </w:rPr>
        <w:t xml:space="preserve"> and expected dividend in 2020 as follows </w:t>
      </w:r>
    </w:p>
    <w:p w:rsidR="00124513" w:rsidRDefault="001245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Revenue:</w:t>
      </w:r>
      <w:r w:rsidR="00960F3A" w:rsidRPr="00960F3A">
        <w:rPr>
          <w:rFonts w:ascii="Arial" w:hAnsi="Arial" w:cs="Arial"/>
          <w:sz w:val="20"/>
          <w:szCs w:val="20"/>
        </w:rPr>
        <w:t xml:space="preserve"> </w:t>
      </w:r>
      <w:r w:rsidRPr="00960F3A">
        <w:rPr>
          <w:rFonts w:ascii="Arial" w:hAnsi="Arial" w:cs="Arial"/>
          <w:sz w:val="20"/>
          <w:szCs w:val="20"/>
        </w:rPr>
        <w:t>VND</w:t>
      </w:r>
      <w:r w:rsidRPr="00960F3A">
        <w:rPr>
          <w:rFonts w:ascii="Arial" w:hAnsi="Arial" w:cs="Arial"/>
          <w:sz w:val="20"/>
          <w:szCs w:val="20"/>
        </w:rPr>
        <w:t xml:space="preserve"> </w:t>
      </w:r>
      <w:r w:rsidR="00960F3A" w:rsidRPr="00960F3A">
        <w:rPr>
          <w:rFonts w:ascii="Arial" w:hAnsi="Arial" w:cs="Arial"/>
          <w:sz w:val="20"/>
          <w:szCs w:val="20"/>
        </w:rPr>
        <w:t xml:space="preserve">710 billion </w:t>
      </w:r>
    </w:p>
    <w:p w:rsidR="00124513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 xml:space="preserve">- Profit: </w:t>
      </w:r>
      <w:r w:rsidR="00124513" w:rsidRPr="00960F3A">
        <w:rPr>
          <w:rFonts w:ascii="Arial" w:hAnsi="Arial" w:cs="Arial"/>
          <w:sz w:val="20"/>
          <w:szCs w:val="20"/>
        </w:rPr>
        <w:t>VND</w:t>
      </w:r>
      <w:r w:rsidR="00124513" w:rsidRPr="00960F3A">
        <w:rPr>
          <w:rFonts w:ascii="Arial" w:hAnsi="Arial" w:cs="Arial"/>
          <w:sz w:val="20"/>
          <w:szCs w:val="20"/>
        </w:rPr>
        <w:t xml:space="preserve"> </w:t>
      </w:r>
      <w:r w:rsidR="00124513">
        <w:rPr>
          <w:rFonts w:ascii="Arial" w:hAnsi="Arial" w:cs="Arial"/>
          <w:sz w:val="20"/>
          <w:szCs w:val="20"/>
        </w:rPr>
        <w:t>1</w:t>
      </w:r>
      <w:r w:rsidRPr="00960F3A">
        <w:rPr>
          <w:rFonts w:ascii="Arial" w:hAnsi="Arial" w:cs="Arial"/>
          <w:sz w:val="20"/>
          <w:szCs w:val="20"/>
        </w:rPr>
        <w:t xml:space="preserve">21 billion </w:t>
      </w:r>
    </w:p>
    <w:p w:rsidR="00282C57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>- Expected dividend rate of 2020: not less</w:t>
      </w:r>
      <w:r w:rsidR="00282C57">
        <w:rPr>
          <w:rFonts w:ascii="Arial" w:hAnsi="Arial" w:cs="Arial"/>
          <w:sz w:val="20"/>
          <w:szCs w:val="20"/>
        </w:rPr>
        <w:t xml:space="preserve"> than 10% of charter capital  </w:t>
      </w:r>
    </w:p>
    <w:p w:rsidR="00282C57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>Article 4</w:t>
      </w:r>
      <w:r w:rsidR="00282C57">
        <w:rPr>
          <w:rFonts w:ascii="Arial" w:hAnsi="Arial" w:cs="Arial"/>
          <w:sz w:val="20"/>
          <w:szCs w:val="20"/>
        </w:rPr>
        <w:t>:</w:t>
      </w:r>
      <w:r w:rsidRPr="00960F3A">
        <w:rPr>
          <w:rFonts w:ascii="Arial" w:hAnsi="Arial" w:cs="Arial"/>
          <w:sz w:val="20"/>
          <w:szCs w:val="20"/>
        </w:rPr>
        <w:t xml:space="preserve"> Selection of an audit unit to audit th</w:t>
      </w:r>
      <w:r w:rsidR="00282C57">
        <w:rPr>
          <w:rFonts w:ascii="Arial" w:hAnsi="Arial" w:cs="Arial"/>
          <w:sz w:val="20"/>
          <w:szCs w:val="20"/>
        </w:rPr>
        <w:t>e Company's financial statement</w:t>
      </w:r>
      <w:r w:rsidRPr="00960F3A">
        <w:rPr>
          <w:rFonts w:ascii="Arial" w:hAnsi="Arial" w:cs="Arial"/>
          <w:sz w:val="20"/>
          <w:szCs w:val="20"/>
        </w:rPr>
        <w:t xml:space="preserve"> in 2020 </w:t>
      </w:r>
    </w:p>
    <w:p w:rsidR="004E3058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>To take the ini</w:t>
      </w:r>
      <w:r w:rsidR="00282C57">
        <w:rPr>
          <w:rFonts w:ascii="Arial" w:hAnsi="Arial" w:cs="Arial"/>
          <w:sz w:val="20"/>
          <w:szCs w:val="20"/>
        </w:rPr>
        <w:t>tiative in selecting an auditing unit for the 2019 financial statement</w:t>
      </w:r>
      <w:r w:rsidRPr="00960F3A">
        <w:rPr>
          <w:rFonts w:ascii="Arial" w:hAnsi="Arial" w:cs="Arial"/>
          <w:sz w:val="20"/>
          <w:szCs w:val="20"/>
        </w:rPr>
        <w:t xml:space="preserve"> of the Company</w:t>
      </w:r>
      <w:r w:rsidR="00282C57">
        <w:rPr>
          <w:rFonts w:ascii="Arial" w:hAnsi="Arial" w:cs="Arial"/>
          <w:sz w:val="20"/>
          <w:szCs w:val="20"/>
        </w:rPr>
        <w:t>,</w:t>
      </w:r>
      <w:r w:rsidRPr="00960F3A">
        <w:rPr>
          <w:rFonts w:ascii="Arial" w:hAnsi="Arial" w:cs="Arial"/>
          <w:sz w:val="20"/>
          <w:szCs w:val="20"/>
        </w:rPr>
        <w:t xml:space="preserve"> propose the </w:t>
      </w:r>
      <w:r w:rsidR="00282C57">
        <w:rPr>
          <w:rFonts w:ascii="Arial" w:hAnsi="Arial" w:cs="Arial"/>
          <w:sz w:val="20"/>
          <w:szCs w:val="20"/>
        </w:rPr>
        <w:t>annual General Meeting of Shareholders to authorize</w:t>
      </w:r>
      <w:r w:rsidRPr="00960F3A">
        <w:rPr>
          <w:rFonts w:ascii="Arial" w:hAnsi="Arial" w:cs="Arial"/>
          <w:sz w:val="20"/>
          <w:szCs w:val="20"/>
        </w:rPr>
        <w:t xml:space="preserve"> the Board of Directors to select an </w:t>
      </w:r>
      <w:r w:rsidR="00282C57">
        <w:rPr>
          <w:rFonts w:ascii="Arial" w:hAnsi="Arial" w:cs="Arial"/>
          <w:sz w:val="20"/>
          <w:szCs w:val="20"/>
        </w:rPr>
        <w:t>auditing c</w:t>
      </w:r>
      <w:r w:rsidRPr="00960F3A">
        <w:rPr>
          <w:rFonts w:ascii="Arial" w:hAnsi="Arial" w:cs="Arial"/>
          <w:sz w:val="20"/>
          <w:szCs w:val="20"/>
        </w:rPr>
        <w:t>ompany among the top four auditing firms t</w:t>
      </w:r>
      <w:r w:rsidR="004E3058">
        <w:rPr>
          <w:rFonts w:ascii="Arial" w:hAnsi="Arial" w:cs="Arial"/>
          <w:sz w:val="20"/>
          <w:szCs w:val="20"/>
        </w:rPr>
        <w:t>o audit the financial statement</w:t>
      </w:r>
      <w:r w:rsidRPr="00960F3A">
        <w:rPr>
          <w:rFonts w:ascii="Arial" w:hAnsi="Arial" w:cs="Arial"/>
          <w:sz w:val="20"/>
          <w:szCs w:val="20"/>
        </w:rPr>
        <w:t xml:space="preserve"> of </w:t>
      </w:r>
      <w:proofErr w:type="spellStart"/>
      <w:proofErr w:type="gramStart"/>
      <w:r w:rsidR="004E3058" w:rsidRPr="004E3058">
        <w:rPr>
          <w:rFonts w:ascii="Arial" w:hAnsi="Arial" w:cs="Arial"/>
          <w:sz w:val="20"/>
          <w:szCs w:val="20"/>
        </w:rPr>
        <w:t>Vip</w:t>
      </w:r>
      <w:proofErr w:type="spellEnd"/>
      <w:proofErr w:type="gramEnd"/>
      <w:r w:rsidR="004E3058" w:rsidRPr="004E30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058" w:rsidRPr="004E3058">
        <w:rPr>
          <w:rFonts w:ascii="Arial" w:hAnsi="Arial" w:cs="Arial"/>
          <w:sz w:val="20"/>
          <w:szCs w:val="20"/>
        </w:rPr>
        <w:t>GreenPort</w:t>
      </w:r>
      <w:proofErr w:type="spellEnd"/>
      <w:r w:rsidR="004E3058" w:rsidRPr="004E3058">
        <w:rPr>
          <w:rFonts w:ascii="Arial" w:hAnsi="Arial" w:cs="Arial"/>
          <w:sz w:val="20"/>
          <w:szCs w:val="20"/>
        </w:rPr>
        <w:t xml:space="preserve"> Joint Stock Company</w:t>
      </w:r>
      <w:r w:rsidR="004E3058">
        <w:rPr>
          <w:rFonts w:ascii="Arial" w:hAnsi="Arial" w:cs="Arial"/>
          <w:sz w:val="20"/>
          <w:szCs w:val="20"/>
        </w:rPr>
        <w:t xml:space="preserve">. </w:t>
      </w:r>
      <w:r w:rsidRPr="00960F3A">
        <w:rPr>
          <w:rFonts w:ascii="Arial" w:hAnsi="Arial" w:cs="Arial"/>
          <w:sz w:val="20"/>
          <w:szCs w:val="20"/>
        </w:rPr>
        <w:t xml:space="preserve">List of 4 leading auditing companies are as follows: </w:t>
      </w:r>
    </w:p>
    <w:p w:rsidR="004E3058" w:rsidRDefault="004E30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Ern</w:t>
      </w:r>
      <w:r w:rsidR="00960F3A" w:rsidRPr="00960F3A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t &amp; Young Vietnam Co., Ltd</w:t>
      </w:r>
    </w:p>
    <w:p w:rsidR="00A33E9B" w:rsidRDefault="004E30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33E9B">
        <w:rPr>
          <w:rFonts w:ascii="Arial" w:hAnsi="Arial" w:cs="Arial"/>
          <w:sz w:val="20"/>
          <w:szCs w:val="20"/>
        </w:rPr>
        <w:t>KPMG Vietnam Co., Ltd</w:t>
      </w:r>
    </w:p>
    <w:p w:rsidR="00A33E9B" w:rsidRDefault="00A33E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60F3A" w:rsidRPr="00960F3A">
        <w:rPr>
          <w:rFonts w:ascii="Arial" w:hAnsi="Arial" w:cs="Arial"/>
          <w:sz w:val="20"/>
          <w:szCs w:val="20"/>
        </w:rPr>
        <w:t xml:space="preserve"> PwC Vietnam Co.,</w:t>
      </w:r>
      <w:r>
        <w:rPr>
          <w:rFonts w:ascii="Arial" w:hAnsi="Arial" w:cs="Arial"/>
          <w:sz w:val="20"/>
          <w:szCs w:val="20"/>
        </w:rPr>
        <w:t xml:space="preserve"> Ltd</w:t>
      </w:r>
    </w:p>
    <w:p w:rsidR="00A33E9B" w:rsidRDefault="00BE17E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</w:t>
      </w:r>
      <w:r w:rsidR="00A33E9B">
        <w:rPr>
          <w:rFonts w:ascii="Arial" w:hAnsi="Arial" w:cs="Arial"/>
          <w:sz w:val="20"/>
          <w:szCs w:val="20"/>
        </w:rPr>
        <w:t>loitte Vietnam Co., Ltd</w:t>
      </w:r>
    </w:p>
    <w:p w:rsidR="00BE17E4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 xml:space="preserve">Article 5: Remuneration for the members of the Board of Directors and the Supervisory Board in 2019 </w:t>
      </w:r>
    </w:p>
    <w:p w:rsidR="00A521A3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t xml:space="preserve">The Board of Directors approved that the members of the Board of Directors and the Supervisory Board of VGR do not receive the 2019 remuneration of </w:t>
      </w:r>
      <w:r w:rsidR="00A521A3">
        <w:rPr>
          <w:rFonts w:ascii="Arial" w:hAnsi="Arial" w:cs="Arial"/>
          <w:sz w:val="20"/>
          <w:szCs w:val="20"/>
        </w:rPr>
        <w:t>the Company</w:t>
      </w:r>
    </w:p>
    <w:p w:rsidR="00960F3A" w:rsidRDefault="00960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F3A">
        <w:rPr>
          <w:rFonts w:ascii="Arial" w:hAnsi="Arial" w:cs="Arial"/>
          <w:sz w:val="20"/>
          <w:szCs w:val="20"/>
        </w:rPr>
        <w:lastRenderedPageBreak/>
        <w:t>Artic</w:t>
      </w:r>
      <w:r w:rsidR="00A521A3">
        <w:rPr>
          <w:rFonts w:ascii="Arial" w:hAnsi="Arial" w:cs="Arial"/>
          <w:sz w:val="20"/>
          <w:szCs w:val="20"/>
        </w:rPr>
        <w:t>le 6: T</w:t>
      </w:r>
      <w:r w:rsidRPr="00960F3A">
        <w:rPr>
          <w:rFonts w:ascii="Arial" w:hAnsi="Arial" w:cs="Arial"/>
          <w:sz w:val="20"/>
          <w:szCs w:val="20"/>
        </w:rPr>
        <w:t xml:space="preserve">his </w:t>
      </w:r>
      <w:r w:rsidR="00903416">
        <w:rPr>
          <w:rFonts w:ascii="Arial" w:hAnsi="Arial" w:cs="Arial"/>
          <w:sz w:val="20"/>
          <w:szCs w:val="20"/>
        </w:rPr>
        <w:t>Board resolution</w:t>
      </w:r>
      <w:r w:rsidRPr="00960F3A">
        <w:rPr>
          <w:rFonts w:ascii="Arial" w:hAnsi="Arial" w:cs="Arial"/>
          <w:sz w:val="20"/>
          <w:szCs w:val="20"/>
        </w:rPr>
        <w:t xml:space="preserve"> takes effect from the signing date. Members of the Board of Directors, the </w:t>
      </w:r>
      <w:r w:rsidR="00A521A3">
        <w:rPr>
          <w:rFonts w:ascii="Arial" w:hAnsi="Arial" w:cs="Arial"/>
          <w:sz w:val="20"/>
          <w:szCs w:val="20"/>
        </w:rPr>
        <w:t xml:space="preserve">Management Board </w:t>
      </w:r>
      <w:r w:rsidRPr="00960F3A">
        <w:rPr>
          <w:rFonts w:ascii="Arial" w:hAnsi="Arial" w:cs="Arial"/>
          <w:sz w:val="20"/>
          <w:szCs w:val="20"/>
        </w:rPr>
        <w:t xml:space="preserve">and the </w:t>
      </w:r>
      <w:r w:rsidR="00903416">
        <w:rPr>
          <w:rFonts w:ascii="Arial" w:hAnsi="Arial" w:cs="Arial"/>
          <w:sz w:val="20"/>
          <w:szCs w:val="20"/>
        </w:rPr>
        <w:t xml:space="preserve">relevant </w:t>
      </w:r>
      <w:r w:rsidRPr="00960F3A">
        <w:rPr>
          <w:rFonts w:ascii="Arial" w:hAnsi="Arial" w:cs="Arial"/>
          <w:sz w:val="20"/>
          <w:szCs w:val="20"/>
        </w:rPr>
        <w:t>people</w:t>
      </w:r>
      <w:r w:rsidR="00903416">
        <w:rPr>
          <w:rFonts w:ascii="Arial" w:hAnsi="Arial" w:cs="Arial"/>
          <w:sz w:val="20"/>
          <w:szCs w:val="20"/>
        </w:rPr>
        <w:t>, units are responsible for implementing it</w:t>
      </w:r>
    </w:p>
    <w:sectPr w:rsidR="0096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24513"/>
    <w:rsid w:val="00132EC5"/>
    <w:rsid w:val="00132FA0"/>
    <w:rsid w:val="00135A2F"/>
    <w:rsid w:val="00136CAF"/>
    <w:rsid w:val="001409B7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82C57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4722"/>
    <w:rsid w:val="0030503E"/>
    <w:rsid w:val="0031274D"/>
    <w:rsid w:val="00320096"/>
    <w:rsid w:val="0032185B"/>
    <w:rsid w:val="00327CF7"/>
    <w:rsid w:val="00336481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BA6"/>
    <w:rsid w:val="004B4798"/>
    <w:rsid w:val="004C144F"/>
    <w:rsid w:val="004E3058"/>
    <w:rsid w:val="004E4C16"/>
    <w:rsid w:val="00503DD6"/>
    <w:rsid w:val="00505065"/>
    <w:rsid w:val="0051776C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30D5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03416"/>
    <w:rsid w:val="00912FBD"/>
    <w:rsid w:val="009232CB"/>
    <w:rsid w:val="00923467"/>
    <w:rsid w:val="00934FC0"/>
    <w:rsid w:val="00937D79"/>
    <w:rsid w:val="009410B8"/>
    <w:rsid w:val="009464B8"/>
    <w:rsid w:val="00960F3A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3E9B"/>
    <w:rsid w:val="00A34999"/>
    <w:rsid w:val="00A4710B"/>
    <w:rsid w:val="00A47614"/>
    <w:rsid w:val="00A521A3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E17E4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3B6A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0303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285</cp:revision>
  <dcterms:created xsi:type="dcterms:W3CDTF">2019-10-16T10:03:00Z</dcterms:created>
  <dcterms:modified xsi:type="dcterms:W3CDTF">2020-05-26T08:12:00Z</dcterms:modified>
</cp:coreProperties>
</file>